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World History II: Renaissance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Material: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 pp.  329-330(review); 354-62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PPP notes on Renaissance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reading on “da Vinci”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 handout on: “Decameron”, “Canterbury Tales”,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Adventures of Don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Quixote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“Autobiography”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“The Divine Comedy”(Inferno)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Far From the Deadliest Epidemic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Vocabulary (b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Death-(329)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Renaissance-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Isabella d’Este-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ts (Humanism)-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Francesco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Petrarch-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Niccolo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Machiavelli-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Castiglione-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Perspective-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Vinci-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Michelangelo-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15.2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Gutenberg-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Erasmus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 More-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Vocabulary PPP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Dance of the Dead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Well-Roundedness-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Skepticism-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Inquisitiveness-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Autobiography-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Quixote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Paradise Lost-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Divine Comedy-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Canterbury Tales-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Romeo &amp; Juliet-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Chaucer-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Dante-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Milton-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Cervantes-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Cellini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Frescoes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15 Questions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Where did the Renaissance begin and why?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topics found in Renaissance art.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form of art during the Renaissance.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Describe the ideal Renaissance Man.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Gutenberg’s invention impacted Europe.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</w:pPr>
      <w:r w:rsidDel="00000000" w:rsidR="00000000" w:rsidRPr="00000000">
        <w:rPr>
          <w:vertAlign w:val="baseline"/>
          <w:rtl w:val="0"/>
        </w:rPr>
        <w:t xml:space="preserve">Describe da Vinci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Describe</w:t>
      </w:r>
      <w:r w:rsidDel="00000000" w:rsidR="00000000" w:rsidRPr="00000000">
        <w:rPr>
          <w:vertAlign w:val="baseline"/>
          <w:rtl w:val="0"/>
        </w:rPr>
        <w:t xml:space="preserve"> Michelangelo.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